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Załącznik nr 2 do zapytania ofertowego nr 5/OS/Feniks/2025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Szczegółowy opis przedmiotu zamówienia – Część 1, 2, 3 </w:t>
      </w:r>
    </w:p>
    <w:p>
      <w:pPr>
        <w:pStyle w:val="Normal"/>
        <w:spacing w:lineRule="auto" w:line="257" w:before="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>Zakup i dostawa sprzęt</w:t>
      </w:r>
      <w:r>
        <w:rPr>
          <w:rFonts w:cs="Times New Roman" w:ascii="Times New Roman" w:hAnsi="Times New Roman"/>
          <w:b/>
          <w:sz w:val="20"/>
          <w:szCs w:val="20"/>
        </w:rPr>
        <w:t>u</w:t>
      </w:r>
      <w:r>
        <w:rPr>
          <w:rFonts w:cs="Times New Roman" w:ascii="Times New Roman" w:hAnsi="Times New Roman"/>
          <w:b/>
          <w:sz w:val="20"/>
          <w:szCs w:val="20"/>
        </w:rPr>
        <w:t xml:space="preserve"> medyczn</w:t>
      </w:r>
      <w:r>
        <w:rPr>
          <w:rFonts w:cs="Times New Roman" w:ascii="Times New Roman" w:hAnsi="Times New Roman"/>
          <w:b/>
          <w:sz w:val="20"/>
          <w:szCs w:val="20"/>
        </w:rPr>
        <w:t>ego</w:t>
      </w:r>
    </w:p>
    <w:p>
      <w:pPr>
        <w:pStyle w:val="Normal"/>
        <w:spacing w:lineRule="auto" w:line="257" w:before="480" w:after="0"/>
        <w:ind w:hanging="0" w:left="4537"/>
        <w:rPr>
          <w:rFonts w:ascii="Times New Roman" w:hAnsi="Times New Roman" w:cs="Times New Roman"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  <w:t xml:space="preserve">Zamawiający: </w:t>
      </w:r>
      <w:r>
        <w:rPr>
          <w:rFonts w:cs="Times New Roman" w:ascii="Times New Roman" w:hAnsi="Times New Roman"/>
          <w:b/>
          <w:bCs/>
          <w:sz w:val="20"/>
          <w:szCs w:val="20"/>
        </w:rPr>
        <w:t xml:space="preserve">DSCM Oborniki Śląskie spółka z o.o.  </w:t>
      </w:r>
    </w:p>
    <w:p>
      <w:pPr>
        <w:pStyle w:val="Normal"/>
        <w:spacing w:lineRule="auto" w:line="240" w:before="0" w:after="0"/>
        <w:ind w:left="5245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cs="Times New Roman" w:ascii="Times New Roman" w:hAnsi="Times New Roman"/>
          <w:b/>
          <w:bCs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Cześć 1</w:t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F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otel ginekologiczn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y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z regulacją wysokości – 1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Normal"/>
        <w:tabs>
          <w:tab w:val="clear" w:pos="708"/>
          <w:tab w:val="left" w:pos="2880" w:leader="none"/>
        </w:tabs>
        <w:spacing w:lineRule="auto" w:line="240" w:before="0" w:after="0"/>
        <w:rPr>
          <w:rFonts w:ascii="Times New Roman" w:hAnsi="Times New Roman" w:cs="Times New Roman"/>
          <w:bCs/>
          <w:sz w:val="20"/>
          <w:szCs w:val="20"/>
        </w:rPr>
      </w:pPr>
      <w:r>
        <w:rPr>
          <w:rFonts w:cs="Times New Roman" w:ascii="Times New Roman" w:hAnsi="Times New Roman"/>
          <w:bCs/>
          <w:sz w:val="20"/>
          <w:szCs w:val="20"/>
        </w:rPr>
      </w:r>
    </w:p>
    <w:p>
      <w:pPr>
        <w:pStyle w:val="TableParagraph"/>
        <w:jc w:val="center"/>
        <w:rPr>
          <w:b/>
          <w:sz w:val="20"/>
          <w:szCs w:val="20"/>
          <w:lang w:val="pl-PL"/>
        </w:rPr>
      </w:pPr>
      <w:r>
        <w:rPr>
          <w:b/>
          <w:sz w:val="20"/>
          <w:szCs w:val="20"/>
          <w:lang w:val="pl-PL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8"/>
        <w:gridCol w:w="2691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Fotel z elektryczną regulacją wysokości,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ysokość minimalna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 zakresie 45 - 47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cm,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Tak,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podać wysokość 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Wysokość maksymalna w zakresie 85 - 106 cm,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Tak,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podać wysokość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Szerokość w zakresie 60 – 62 cm,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Minimal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ne obciążenie 170 kg,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Dł</w:t>
            </w:r>
            <w:r>
              <w:rPr>
                <w:rFonts w:ascii="Times New Roman" w:hAnsi="Times New Roman"/>
                <w:sz w:val="20"/>
                <w:szCs w:val="20"/>
              </w:rPr>
              <w:t>ugość całkowita max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1</w:t>
            </w:r>
            <w:r>
              <w:rPr>
                <w:rFonts w:ascii="Times New Roman" w:hAnsi="Times New Roman"/>
                <w:sz w:val="20"/>
                <w:szCs w:val="20"/>
              </w:rPr>
              <w:t>80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cm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S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truktura fotela wykonana ze stali nierdzewnej,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ołożenie oparcia regulowane za pomoc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ą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sprężyny gazowej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lub silnika elektrycznego,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Podłużna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taca/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miska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pod siedziskiem,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E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lektryczny sterownik nożny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lub pilot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do regulacji  fotela,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apicerka bezszwowa,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zmywalna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Uchwyty/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oparcia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po obu stronach fotela,</w:t>
            </w:r>
          </w:p>
        </w:tc>
        <w:tc>
          <w:tcPr>
            <w:tcW w:w="14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Zintegrowany uchwyt na ręczniki jednorazowe w rolce,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1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ara podpórek pod nogi.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  <w:t xml:space="preserve">  </w:t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6"/>
        <w:gridCol w:w="6861"/>
      </w:tblGrid>
      <w:tr>
        <w:trPr/>
        <w:tc>
          <w:tcPr>
            <w:tcW w:w="2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Część 2</w:t>
            </w:r>
          </w:p>
        </w:tc>
        <w:tc>
          <w:tcPr>
            <w:tcW w:w="6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W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izualizator naczyniow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y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(skaner żył) –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1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szt.</w:t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4"/>
        <w:gridCol w:w="5336"/>
        <w:gridCol w:w="1448"/>
        <w:gridCol w:w="2691"/>
      </w:tblGrid>
      <w:tr>
        <w:trPr>
          <w:tblHeader w:val="true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edyczny skaner naczyń krwionośnych ze stojakiem jezdnym,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Wyświetlacz LCD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min.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2,4 cala,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Czas pracy do 5 h lub tryb ciągły przy zasilaniu sieciowym,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Długość podczerwieni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 zakresie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750-950nm,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Tak,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podać wartość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Interfejs: j.polski,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Minimum 3 rozmiary wielkości obrazowania,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Tryb Stand-by,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/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  <w:lang w:eastAsia="pl-PL"/>
              </w:rPr>
              <w:t>Tryb Autofocus,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Odległość wykrywania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 zakresie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20-35 cm,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Regulacja jasności, 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Wyraźne wskazanie lini żył,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433" w:hRule="atLeast"/>
        </w:trPr>
        <w:tc>
          <w:tcPr>
            <w:tcW w:w="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5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  <w:szCs w:val="20"/>
              </w:rPr>
              <w:t>Certyfikacja: Wyrób Medyczny Klasy I 93/42 EEC , CE EN ISO 13485:2016</w:t>
            </w:r>
          </w:p>
        </w:tc>
        <w:tc>
          <w:tcPr>
            <w:tcW w:w="1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BodyText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  <w:r>
        <w:br w:type="page"/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5000" w:type="pct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2775"/>
        <w:gridCol w:w="6862"/>
      </w:tblGrid>
      <w:tr>
        <w:trPr/>
        <w:tc>
          <w:tcPr>
            <w:tcW w:w="2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Część 3</w:t>
            </w:r>
          </w:p>
        </w:tc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L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amp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UV bakterio i wirusobójcz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a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– 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3</w:t>
            </w: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 xml:space="preserve"> szt.</w:t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Nazwa producenta: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  <w:tab w:val="left" w:pos="3420" w:leader="none"/>
              </w:tabs>
              <w:spacing w:before="0" w:after="20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Model, typ: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  <w:tr>
        <w:trPr/>
        <w:tc>
          <w:tcPr>
            <w:tcW w:w="277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tabs>
                <w:tab w:val="clear" w:pos="708"/>
                <w:tab w:val="left" w:pos="2880" w:leader="none"/>
              </w:tabs>
              <w:spacing w:lineRule="auto" w:line="240" w:before="0"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Cs/>
                <w:sz w:val="20"/>
                <w:szCs w:val="20"/>
              </w:rPr>
              <w:t>Cena jednostkowa brutto:</w:t>
            </w:r>
          </w:p>
        </w:tc>
        <w:tc>
          <w:tcPr>
            <w:tcW w:w="686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tbl>
      <w:tblPr>
        <w:tblW w:w="9970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93"/>
        <w:gridCol w:w="5337"/>
        <w:gridCol w:w="1447"/>
        <w:gridCol w:w="2692"/>
      </w:tblGrid>
      <w:tr>
        <w:trPr>
          <w:tblHeader w:val="true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napToGrid w:val="false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cs="Times New Roman" w:ascii="Times New Roman" w:hAnsi="Times New Roman"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techniczne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  <w:vAlign w:val="center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Parametry wymagane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pct5"/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kern w:val="2"/>
                <w:sz w:val="20"/>
                <w:szCs w:val="20"/>
              </w:rPr>
              <w:t>Parametr oferowany TAK/NIE (wypełnia Wykonawca)</w:t>
            </w:r>
          </w:p>
        </w:tc>
      </w:tr>
      <w:tr>
        <w:trPr>
          <w:trHeight w:val="1025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color w:val="000000"/>
                <w:sz w:val="20"/>
              </w:rPr>
              <w:t xml:space="preserve">Sprzęt fabrycznie nowy, wolny od wszelkich wad i uszkodzeń, bez wcześniejszej eksploatacji nie będący przedmiotem praw osób trzecich. Rok produkcji: </w:t>
            </w:r>
            <w:r>
              <w:rPr>
                <w:rFonts w:cs="Times New Roman" w:ascii="Times New Roman" w:hAnsi="Times New Roman"/>
                <w:sz w:val="20"/>
              </w:rPr>
              <w:t>2025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Przepływowa lampa wirusobójcza oraz bakteriobójcza sterylizująca powietrze promieniami UV-C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Wydajność wentylatora: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min.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132 m3/h.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oc świetlówek UV: 110W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Powierzchnia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dezynfekcji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pomieszczenia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w min. zakresie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18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-35 m2.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Przepływ powietrza na godzinę: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min. 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85 m3/h.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Z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licznikiem czasu pracy urządzenia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  <w:tr>
        <w:trPr>
          <w:trHeight w:val="308" w:hRule="atLeast"/>
        </w:trPr>
        <w:tc>
          <w:tcPr>
            <w:tcW w:w="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numPr>
                <w:ilvl w:val="0"/>
                <w:numId w:val="0"/>
              </w:numPr>
              <w:suppressAutoHyphens w:val="true"/>
              <w:spacing w:lineRule="auto" w:line="240" w:before="0" w:after="0"/>
              <w:ind w:hanging="0"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5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Normal"/>
              <w:spacing w:before="0" w:after="16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W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łasn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podstaw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jezdn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>a</w:t>
            </w:r>
            <w:r>
              <w:rPr>
                <w:rFonts w:cs="Times New Roman" w:ascii="Times New Roman" w:hAnsi="Times New Roman"/>
                <w:sz w:val="20"/>
                <w:szCs w:val="20"/>
              </w:rPr>
              <w:t xml:space="preserve"> z możliwością blokady kółek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  <w:t>Tak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160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b/>
                <w:bCs/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ind w:hanging="0" w:left="0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left="284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p>
      <w:pPr>
        <w:pStyle w:val="Normal"/>
        <w:widowControl w:val="false"/>
        <w:suppressAutoHyphens w:val="true"/>
        <w:spacing w:before="0" w:after="160"/>
        <w:ind w:hanging="0" w:left="0"/>
        <w:jc w:val="both"/>
        <w:textAlignment w:val="baseline"/>
        <w:rPr>
          <w:rFonts w:ascii="Times New Roman" w:hAnsi="Times New Roman" w:cs="Times New Roman"/>
          <w:b/>
          <w:bCs/>
          <w:kern w:val="2"/>
          <w:sz w:val="20"/>
          <w:szCs w:val="20"/>
        </w:rPr>
      </w:pPr>
      <w:r>
        <w:rPr>
          <w:rFonts w:cs="Times New Roman" w:ascii="Times New Roman" w:hAnsi="Times New Roman"/>
          <w:b/>
          <w:bCs/>
          <w:kern w:val="2"/>
          <w:sz w:val="20"/>
          <w:szCs w:val="20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737" w:top="1446" w:footer="0" w:bottom="73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1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  <w:drawing>
        <wp:inline distT="0" distB="0" distL="0" distR="0">
          <wp:extent cx="6120130" cy="623570"/>
          <wp:effectExtent l="0" t="0" r="0" b="0"/>
          <wp:docPr id="2" name="Obraz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23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3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f6fe2"/>
    <w:pPr>
      <w:widowControl/>
      <w:suppressAutoHyphens w:val="true"/>
      <w:bidi w:val="0"/>
      <w:spacing w:lineRule="auto" w:line="257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rzypisudolnegoZnak" w:customStyle="1">
    <w:name w:val="Tekst przypisu dolnego Znak"/>
    <w:basedOn w:val="DefaultParagraphFont"/>
    <w:uiPriority w:val="99"/>
    <w:qFormat/>
    <w:rsid w:val="00ef45b6"/>
    <w:rPr>
      <w:sz w:val="20"/>
      <w:szCs w:val="20"/>
    </w:rPr>
  </w:style>
  <w:style w:type="character" w:styleId="Znakiprzypiswdolnychuser">
    <w:name w:val="Znaki przypisów dolnych (user)"/>
    <w:uiPriority w:val="99"/>
    <w:semiHidden/>
    <w:unhideWhenUsed/>
    <w:qFormat/>
    <w:rsid w:val="00ef45b6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ef45b6"/>
    <w:rPr>
      <w:color w:themeColor="hyperlink" w:val="0563C1"/>
      <w:u w:val="single"/>
    </w:rPr>
  </w:style>
  <w:style w:type="character" w:styleId="Emphasis">
    <w:name w:val="Emphasis"/>
    <w:basedOn w:val="DefaultParagraphFont"/>
    <w:uiPriority w:val="20"/>
    <w:qFormat/>
    <w:rsid w:val="007648cc"/>
    <w:rPr>
      <w:i/>
      <w:iCs/>
    </w:rPr>
  </w:style>
  <w:style w:type="character" w:styleId="Nierozpoznanawzmianka1" w:customStyle="1">
    <w:name w:val="Nierozpoznana wzmianka1"/>
    <w:basedOn w:val="DefaultParagraphFont"/>
    <w:uiPriority w:val="99"/>
    <w:semiHidden/>
    <w:unhideWhenUsed/>
    <w:qFormat/>
    <w:rsid w:val="00ad57eb"/>
    <w:rPr>
      <w:color w:val="605E5C"/>
      <w:shd w:fill="E1DFDD" w:val="clear"/>
    </w:rPr>
  </w:style>
  <w:style w:type="character" w:styleId="TekstprzypisukocowegoZnak" w:customStyle="1">
    <w:name w:val="Tekst przypisu końcowego Znak"/>
    <w:basedOn w:val="DefaultParagraphFont"/>
    <w:uiPriority w:val="99"/>
    <w:semiHidden/>
    <w:qFormat/>
    <w:rsid w:val="00595a93"/>
    <w:rPr>
      <w:sz w:val="20"/>
      <w:szCs w:val="20"/>
    </w:rPr>
  </w:style>
  <w:style w:type="character" w:styleId="Znakiprzypiswkocowychuser">
    <w:name w:val="Znaki przypisów końcowych (user)"/>
    <w:uiPriority w:val="99"/>
    <w:semiHidden/>
    <w:unhideWhenUsed/>
    <w:qFormat/>
    <w:rsid w:val="00595a93"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0cc0"/>
    <w:rPr>
      <w:sz w:val="16"/>
      <w:szCs w:val="16"/>
    </w:rPr>
  </w:style>
  <w:style w:type="character" w:styleId="TekstkomentarzaZnak" w:customStyle="1">
    <w:name w:val="Tekst komentarza Znak"/>
    <w:basedOn w:val="DefaultParagraphFont"/>
    <w:link w:val="CommentText"/>
    <w:uiPriority w:val="99"/>
    <w:qFormat/>
    <w:rsid w:val="00760cc0"/>
    <w:rPr>
      <w:sz w:val="20"/>
      <w:szCs w:val="20"/>
    </w:rPr>
  </w:style>
  <w:style w:type="character" w:styleId="TematkomentarzaZnak" w:customStyle="1">
    <w:name w:val="Temat komentarza Znak"/>
    <w:basedOn w:val="TekstkomentarzaZnak"/>
    <w:link w:val="annotationsubject"/>
    <w:uiPriority w:val="99"/>
    <w:semiHidden/>
    <w:qFormat/>
    <w:rsid w:val="00760cc0"/>
    <w:rPr>
      <w:b/>
      <w:bCs/>
      <w:sz w:val="20"/>
      <w:szCs w:val="20"/>
    </w:rPr>
  </w:style>
  <w:style w:type="character" w:styleId="NagwekZnak" w:customStyle="1">
    <w:name w:val="Nagłówek Znak"/>
    <w:basedOn w:val="DefaultParagraphFont"/>
    <w:uiPriority w:val="99"/>
    <w:qFormat/>
    <w:rsid w:val="008823b5"/>
    <w:rPr/>
  </w:style>
  <w:style w:type="character" w:styleId="StopkaZnak" w:customStyle="1">
    <w:name w:val="Stopka Znak"/>
    <w:basedOn w:val="DefaultParagraphFont"/>
    <w:uiPriority w:val="99"/>
    <w:qFormat/>
    <w:rsid w:val="008823b5"/>
    <w:rPr/>
  </w:style>
  <w:style w:type="character" w:styleId="ArialNarowZnak" w:customStyle="1">
    <w:name w:val="Arial Narow Znak"/>
    <w:link w:val="ArialNarow"/>
    <w:uiPriority w:val="99"/>
    <w:qFormat/>
    <w:locked/>
    <w:rsid w:val="00f20e16"/>
    <w:rPr>
      <w:rFonts w:ascii="Arial Narrow" w:hAnsi="Arial Narrow" w:eastAsia="Calibri" w:cs="Times New Roman"/>
      <w:sz w:val="24"/>
      <w:szCs w:val="20"/>
      <w:lang w:eastAsia="pl-PL"/>
    </w:rPr>
  </w:style>
  <w:style w:type="character" w:styleId="Strong">
    <w:name w:val="Strong"/>
    <w:qFormat/>
    <w:rPr>
      <w:b/>
      <w:bCs/>
    </w:rPr>
  </w:style>
  <w:style w:type="character" w:styleId="Znakinumeracjiuser">
    <w:name w:val="Znaki numeracji (user)"/>
    <w:qFormat/>
    <w:rPr/>
  </w:style>
  <w:style w:type="character" w:styleId="Znakiwypunktowaniauser">
    <w:name w:val="Znaki wypunktowania (user)"/>
    <w:qFormat/>
    <w:rPr>
      <w:rFonts w:ascii="OpenSymbol" w:hAnsi="OpenSymbol" w:eastAsia="OpenSymbol" w:cs="OpenSymbol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FootnoteText">
    <w:name w:val="footnote text"/>
    <w:basedOn w:val="Normal"/>
    <w:link w:val="TekstprzypisudolnegoZnak"/>
    <w:uiPriority w:val="99"/>
    <w:unhideWhenUsed/>
    <w:rsid w:val="00ef45b6"/>
    <w:pPr>
      <w:spacing w:lineRule="auto" w:line="240" w:before="0" w:after="0"/>
    </w:pPr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4509a"/>
    <w:pPr>
      <w:spacing w:before="0" w:after="160"/>
      <w:ind w:left="72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7f3cfe"/>
    <w:pPr>
      <w:spacing w:lineRule="auto" w:line="259"/>
    </w:pPr>
    <w:rPr>
      <w:rFonts w:ascii="Times New Roman" w:hAnsi="Times New Roman" w:cs="Times New Roman"/>
      <w:sz w:val="24"/>
      <w:szCs w:val="24"/>
    </w:rPr>
  </w:style>
  <w:style w:type="paragraph" w:styleId="EndnoteText">
    <w:name w:val="endnote text"/>
    <w:basedOn w:val="Normal"/>
    <w:link w:val="TekstprzypisukocowegoZnak"/>
    <w:uiPriority w:val="99"/>
    <w:semiHidden/>
    <w:unhideWhenUsed/>
    <w:rsid w:val="00595a93"/>
    <w:pPr>
      <w:spacing w:lineRule="auto" w:line="240" w:before="0" w:after="0"/>
    </w:pPr>
    <w:rPr>
      <w:sz w:val="20"/>
      <w:szCs w:val="20"/>
    </w:rPr>
  </w:style>
  <w:style w:type="paragraph" w:styleId="Revision">
    <w:name w:val="Revision"/>
    <w:uiPriority w:val="99"/>
    <w:semiHidden/>
    <w:qFormat/>
    <w:rsid w:val="00b406d1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CommentText">
    <w:name w:val="annotation text"/>
    <w:basedOn w:val="Normal"/>
    <w:link w:val="TekstkomentarzaZnak"/>
    <w:uiPriority w:val="99"/>
    <w:unhideWhenUsed/>
    <w:rsid w:val="00760cc0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unhideWhenUsed/>
    <w:qFormat/>
    <w:rsid w:val="00760cc0"/>
    <w:pPr/>
    <w:rPr>
      <w:b/>
      <w:bCs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8823b5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TableParagraph" w:customStyle="1">
    <w:name w:val="Table Paragraph"/>
    <w:basedOn w:val="Normal"/>
    <w:uiPriority w:val="99"/>
    <w:qFormat/>
    <w:rsid w:val="00f20e16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lang w:val="en-US"/>
    </w:rPr>
  </w:style>
  <w:style w:type="paragraph" w:styleId="ArialNarow" w:customStyle="1">
    <w:name w:val="Arial Narow"/>
    <w:basedOn w:val="Normal"/>
    <w:link w:val="ArialNarowZnak"/>
    <w:uiPriority w:val="99"/>
    <w:qFormat/>
    <w:rsid w:val="00f20e16"/>
    <w:pPr>
      <w:spacing w:lineRule="auto" w:line="240" w:before="0" w:after="0"/>
    </w:pPr>
    <w:rPr>
      <w:rFonts w:ascii="Arial Narrow" w:hAnsi="Arial Narrow" w:eastAsia="Calibri" w:cs="Times New Roman"/>
      <w:sz w:val="24"/>
      <w:szCs w:val="20"/>
      <w:lang w:eastAsia="pl-PL"/>
    </w:rPr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/>
      <w:color w:val="000000"/>
      <w:kern w:val="0"/>
      <w:sz w:val="24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00DDB7-7728-4D19-93AA-1911940E55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Application>LibreOffice/25.2.5.2$Windows_X86_64 LibreOffice_project/03d19516eb2e1dd5d4ccd751a0d6f35f35e08022</Application>
  <AppVersion>15.0000</AppVersion>
  <Pages>3</Pages>
  <Words>435</Words>
  <Characters>2519</Characters>
  <CharactersWithSpaces>2832</CharactersWithSpaces>
  <Paragraphs>140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2025-02-26T12:04:00Z</dcterms:created>
  <dc:creator>MES MES;GT</dc:creator>
  <dc:description/>
  <dc:language>pl-PL</dc:language>
  <cp:lastModifiedBy>Sebastian Drabik</cp:lastModifiedBy>
  <dcterms:modified xsi:type="dcterms:W3CDTF">2025-10-13T20:00:06Z</dcterms:modified>
  <cp:revision>255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