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Załącznik nr 2 do zapytania ofertowego nr 7/OS/Feniks/2026 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Szczegółowy opis przedmiotu zamówienia –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Zakup i dostawa sprzętów medycznych</w:t>
      </w:r>
    </w:p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Zamawiający: </w:t>
      </w:r>
      <w:r>
        <w:rPr>
          <w:rFonts w:cs="Times New Roman" w:ascii="Times New Roman" w:hAnsi="Times New Roman"/>
          <w:b/>
          <w:bCs/>
          <w:sz w:val="20"/>
          <w:szCs w:val="20"/>
        </w:rPr>
        <w:t xml:space="preserve">DSCM Oborniki Śląskie spółka z o.o.  </w:t>
      </w:r>
    </w:p>
    <w:p>
      <w:pPr>
        <w:pStyle w:val="Normal"/>
        <w:spacing w:lineRule="auto" w:line="240" w:before="0" w:after="0"/>
        <w:ind w:left="5245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Aparat EKG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typ, oprogramowanie: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TableParagraph"/>
        <w:jc w:val="center"/>
        <w:rPr>
          <w:b/>
          <w:sz w:val="20"/>
          <w:szCs w:val="20"/>
          <w:lang w:val="pl-PL"/>
        </w:rPr>
      </w:pPr>
      <w:r>
        <w:rPr>
          <w:b/>
          <w:sz w:val="20"/>
          <w:szCs w:val="20"/>
          <w:lang w:val="pl-PL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49"/>
        <w:gridCol w:w="2690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nie starszy niż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Dotykowy ekran 7 cali o rozdzielczości 1024 x 600 px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Klawiatura ekranowa na panelu dotykowym - QWERTY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Ekranowy asystent rozmieszczenia elektrod z graficznym wskazaniem jakości sygnału wraz z funkcją wykrywania i wskazywania: odłączonych odprowadzeń oraz luźnych elektrod.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Zarządzanie ustawieniami aparatu oparte na menu bocznym. Poszczególne kategorie umieszczone w formie listy po lewej stronie ekranu. Po prawej stronie ekranu okno z zarządzaniem poszczególnymi ustawieniami.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Trzy systemy sygnalizowania niskiego poziomu naładowania akumulatora za pomocą:  sygnału dźwiękowego, ikony na wyświetlaczu, diody LED.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ustawienia motywu jasny lub ciemny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Trzy systemy oszczędzania energii (możliwość ich dezaktywowania):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Możliwość przejścia w tryb czuwania po czasie: 5, 10, 30, 60 minut.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Możliwość automatycznego wyłączenia urządzenia po upływie: 1, 2, 4 godz. bezczynności.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Płynna możliwość regulacji jasności wyświetlacza przy pomocy suwaka (nieskokowa).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wykrywania braku papieru w drukarce termicznej: Alarm dźwiękowy i komunikat na ekranie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Kompatybilność wbudowanej drukarki z papierem termicznym w formie rolki o szerokość 111.5 +/- 0.5 mm o średnicach 47mm i mniejszych.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wyboru składników raportu: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Informacje o pacjencie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Data i godzina wykonania badania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Rodzaj i długość badania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Login wykonującego badania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Odprowadzenia EKG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Pomiary EKG: podstawowe pomiary krzywych EKG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Wstęga rytmu w badaniu EKG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Tabela pomiarów: szczegółowe pomiary dla odprowadzenia EKG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Pole podsumowania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Oś serca: graficzna reprezentacja osi serca (QRS, T, P)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Dane wyświetlane na ekranie aparatu: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Tętno,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Imię i nazwisko pacjenta,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Identyfikator pacjenta,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Godzina,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Wskaźnik naładowania baterii,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Powiadomienia, komunikaty ostrzegawcze,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Zapis krzywych EKG,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Ciśnienie krwi,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Waga i wzrost pacjenta,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Oznaczenia elektrod,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Ustawienia prędkości, czułości, filtrów, profilu i systemu elektrod,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Asystent podłączenia elektrod,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Wskazanie odłączenia elektrod,</w:t>
            </w:r>
          </w:p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ascii="Times New Roman" w:hAnsi="Times New Roman"/>
                <w:sz w:val="20"/>
                <w:szCs w:val="20"/>
              </w:rPr>
              <w:t>Login wykonującego badanie,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Parametry mierzone i drukowane na raporcie: RR, P, PQ(PR), QRS, QT, oś P, oś QRS, oś T, QTc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Analiza w trybie Rytm: śr. HR, max. HR, min. HR, śr. R-R, max. R-R, min. R-R, zliczanie R-R, SDRR, pRR50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Prędkość wydruku / przesuwu papieru (mm/s): 5, 10, 12.5, 25, 50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Czułość (mm/mV): 2.5, 5, 10, 20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Możliwość ustawienia dwukrotnie mniejszej czułości elektrod piersiowych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10 fizycznych odprowadzeń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 kanałów EKG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trybie automatycznym niezależny od siebie wybór układów odprowadzeń wyświetlanych na ekranie oraz drukowanych: 2x6+0R, 2x6+1R, 1x12+0R, 4x3+0R, 4x3+1R+, 1x6+0R.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wyboru formatu odprowadzeń i ich wydruku: Einthoven, Cabrera.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ustawienia zapisu wstecznego w przedziale 1-10 sekund z amplitudą 1s.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trybie ręcznym drukowanie układu: 1-4, 6 oraz 12 odprowadzeń.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trybie automatycznym do wyboru długość zapisu 12-kanałowego EKG spoczynkowego (s): 10, 12, 15, 20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 trybie Rytm: możliwość zapisu 20 minutowego 12-kanałowego badania EKG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Wspólna pamięć wewnętrzna pozwalająca na zapis 3200 badań / 2000 pacjentów / 100 użytkowników / 50 profili użytkowników.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Zestawy filtrów w trybie Auto: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Predefiniowany zestaw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Automatyczny dobór filtrów.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   •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Możliwość stworzenia własnego zestawu filtrów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Możliwość wyłączenie filtrów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Filtr miopotencjałów (myo): 170 Hz, 90 Hz adaptacyjny, 20 Hz, 25 Hz, 35 Hz.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Filtr przesunięcia (drift): 0.049 Hz, 0.05 Hz, 0.07 Hz Cubic Spline, 0.15 Hz adaptacyjny, 0.25 Hz adaptacyjny, wariancyjny.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Sprzętowa detekcja impulsu kardiostymulatora o parametrach: 0.1 – 2 ms, 2 – 250 mV, równoważna z 100 000 SPS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Cyfrowa rozdzielczość przetwornika: 24 bity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Minimalny czas nieprzerwanego monitorowania sygnału na zasilaniu akumulatorowym: 400 minut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Czas ładowania 4 godziny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Wbudowane fabrycznie minimum 3 gniazda USB (5 V, 1 A) służące do podłączenia co najmniej: klawiatura, mysz, drukarka, moduł pamięci do eksportu raportów (PDF)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Automatyczne wylogowanie użytkownika przy przejściu w tryb czuwania (po określonym czasie braku aktywności)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Urządzenie spełnia normy/posiada certyfikaty: </w:t>
              <w:br/>
              <w:t>IEC 60601-1, IEC 60601-1-2, IEC 60601-2-25,</w:t>
              <w:br/>
              <w:t>CE w odniesieniu do rozporządzenia w sprawie wyrobów medycznych (MDR) zgodnie z rozporządzeniem Komisji Europejskiej,</w:t>
              <w:br/>
              <w:t>Rozporządzenie Komisji (UE) nr 2017/745,</w:t>
              <w:br/>
              <w:t>Zgodność z ogólnym rozporządzeniem UE o ochronie danych (RODO)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Przypisanie ról i uprawnień do każdego użytkownika w celu zabezpieczenia danych i zapobieganiu nieautoryzowanej konfiguracji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Zintegrowane połączenie z komputerem poprzez oprogramowanie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Oprogramowanie do komputerowego spoczynkowego EKG: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Tryb szybkiego EKG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Długotrwałe monitorowanie EKG - typ LONG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Odprowadzenia Eindhoven / Cabrera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Kontrola kontaktu elektrod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Automatyczna analiza badania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Cyrkiel do ręcznego pomiaru zapisu EKG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Automatyczna interpretacja tekstowa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Moduł długiego QT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Mapy ST (wykresy kołowe)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Moduł porównawczy zapisów EKG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Wektokardiografia (VCG)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Zintegrowany wózek na aparat EKG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Wyposażenie standardowe do aparatu: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- Kabel EKG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- Elektrody przyssawkowe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- Elektrody kończynowe klipsowe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- Żel EKG 250g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- Papier EKG - 1 rolka szerokość 112 mm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- Kabel ethernetowy</w:t>
            </w:r>
          </w:p>
          <w:p>
            <w:pPr>
              <w:pStyle w:val="Normal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- Kabel zasilający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- Instrukcja obsługi aparatu w języku polskim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Instalacja aparatu i przeszkolenie personelu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240"/>
              <w:rPr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Instalacja oprogramowania i przeszkolenie personelu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Holter EKG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49"/>
        <w:gridCol w:w="2690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nie starszy niż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Rejestracja odprowadzeń EKG 3 lub 12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Bezprzewodowa komunikacja podgląd przebiegu EKG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Detekcja odpięcia elektrody INOP w trybie konfiguracji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Pamięć zapis danych EKG na kartę microSDHC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Klawiatura dotykowa, z przyciskami funkcyjnymi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Menu wyświetlane na ekranie, obsługa za pomocą klawiatury. Wyświetlacz / ekran OLED 1,27"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Zapis danych EKG dołączenie imienia i nazwiska pacjenta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Podgląd danych pacjenta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Opcje zmiany parametrów data i godzina; tryb online; język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Opcje zmiany parametrów tryb wyświetlania grup; tryb wyświetlania pojedynczych odprowadzeń; typ badania (24h, 48h, 7d)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 pracy Optimal lub Extended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Informacja o stanie rejestratora trójkolorowa dioda i sygnalizacja dźwiękowa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Sygnalizacja uszkodzonej karty microSDHC; wyczerpanej baterii; INOP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Rejestracja sygnału EKG 3 odprowadzenia (kabel 4 lub 7 elektrodowy); 12 odprowadzeń (kabel 10 elektrodowy)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Rejestracja sygnału EKG okres 24 h; 48 h lub 7 dni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Rejestracja dwóch rodzajów zdarzeń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Filtr izolinii 0,05 Hz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Elektrody jednorazowe EKG Kendall – 4 komplety (po 50 szt. każdy)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Torba na holter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Torebki jednorazowe na holter – 100 szt.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Oszczędzanie energii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5"/>
        <w:gridCol w:w="6862"/>
      </w:tblGrid>
      <w:tr>
        <w:trPr/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Holter ciśnieniowy – 1 szt.</w:t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typ, oprogramowanie: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3"/>
        <w:gridCol w:w="5337"/>
        <w:gridCol w:w="1448"/>
        <w:gridCol w:w="2691"/>
      </w:tblGrid>
      <w:tr>
        <w:trPr>
          <w:tblHeader w:val="true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nie starszy niż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Wyświetlacz / ekran OLED, Klawiatura  z przyciskiem zdarzeń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Zakres pomiaru dorosły: 0-300 mmHg, pediatryczny: 0-150 mmHg (względem ciśnienia atmosferycznego)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Praca bez baterii, poprzez przewód USB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Ciśnienie w mankiecie wartość liczbowa lub graficznie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Wyniki pomiarów: ciśnienie skurczowe, rozkurczowe, średnie i HR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Wyświetlanie błędów w postaci ostrzeżeń i kodów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Menu rozbudowane, dane informacyjne, szybki start, wyniki pomiarów, przywracanie ust. fab., konfiguracja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Czujnik ciśnienia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Bateria tryb ECO: do 5dni; tryb 4 baterie: do 14 dni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Pamięć 1000 badań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Automatyczna detekcja ilości baterii, pomiar zużycia baterii, prezentacja pracy baterii liczona w dniach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System szybkiego podłączania, przewodu powietrznego mankietu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Okresy pomiarowe 6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Definicja aktywności/snu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 pracy dorosły, pediatryczny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Praca stacjonarna zasilanie tylko z USB i sterowanie ręczne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Harmonogram rejestracji pomiarów  (podział na aktywność i sen)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Obsługa łatwa, możliwość programowania bez komputera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Wewnętrzny zegar czasu rzeczywistego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Odczyt wykonanych pomiarów ciśnienia tętniczego krwi z rejestratora odbywa się poprzez oprogramowanie zainstalowane na komputerze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Tak/podać typ oprogramowania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Połączenie z komputerem za pomocą przewodu USB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testu szczelności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Funkcja testu manometru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Oszczędzanie energii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Torba na holter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22.</w:t>
            </w:r>
          </w:p>
        </w:tc>
        <w:tc>
          <w:tcPr>
            <w:tcW w:w="533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Torebki jednorazowe na holter – 100 szt.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0"/>
        <w:gridCol w:w="6867"/>
      </w:tblGrid>
      <w:tr>
        <w:trPr/>
        <w:tc>
          <w:tcPr>
            <w:tcW w:w="2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Waga medyczna ze wzrostomierzem   – 3 szt.</w:t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7"/>
        <w:gridCol w:w="2692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nie starszy niż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Obciążenie maksymalne:</w:t>
              <w:tab/>
            </w:r>
            <w:r>
              <w:rPr>
                <w:rFonts w:cs="Times New Roman" w:ascii="Times New Roman" w:hAnsi="Times New Roman"/>
                <w:sz w:val="20"/>
                <w:szCs w:val="20"/>
              </w:rPr>
              <w:t>2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00 kg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Podziałka (g):</w:t>
              <w:tab/>
              <w:t>100 g &lt; 150 kg &gt; 200 g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Zewnętrzny w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ymiar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wagi – głębokość : max 43 cm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Zakres wzrostomierza: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do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2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0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0 cm</w:t>
            </w:r>
          </w:p>
        </w:tc>
        <w:tc>
          <w:tcPr>
            <w:tcW w:w="1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Masa brutto: max 10 kg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Zasilanie: Zasilacz, Baterie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Fun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kcja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Body Mass Index (BMI)</w:t>
            </w:r>
          </w:p>
        </w:tc>
        <w:tc>
          <w:tcPr>
            <w:tcW w:w="1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Legalizacja klasy III</w:t>
            </w:r>
          </w:p>
        </w:tc>
        <w:tc>
          <w:tcPr>
            <w:tcW w:w="1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Rodzaj wagi: kolumnowa</w:t>
            </w:r>
          </w:p>
        </w:tc>
        <w:tc>
          <w:tcPr>
            <w:tcW w:w="14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4"/>
        <w:gridCol w:w="6863"/>
      </w:tblGrid>
      <w:tr>
        <w:trPr/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Stolik zabiegowy – 3 szt.</w:t>
            </w:r>
          </w:p>
        </w:tc>
      </w:tr>
      <w:tr>
        <w:trPr/>
        <w:tc>
          <w:tcPr>
            <w:tcW w:w="277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2"/>
        <w:gridCol w:w="5338"/>
        <w:gridCol w:w="1444"/>
        <w:gridCol w:w="2695"/>
      </w:tblGrid>
      <w:tr>
        <w:trPr>
          <w:tblHeader w:val="true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nie starszy niż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Rama  ze stali węglowej malowanej proszkowo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Łatwy w czyszczeniu i dezynfekcji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Kółka jezdne z blokadą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Wymiary [Wys x Sz x Dł]: 850 x 450 x 750 mm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Wyposażony w dwie półki z wytrzymałego szkła hartowanego</w:t>
            </w:r>
          </w:p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Wyrób medyczny CE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737" w:top="1446" w:footer="0" w:bottom="73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1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2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6fe2"/>
    <w:pPr>
      <w:widowControl/>
      <w:suppressAutoHyphens w:val="true"/>
      <w:bidi w:val="0"/>
      <w:spacing w:lineRule="auto" w:line="257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dolnegoZnak" w:customStyle="1">
    <w:name w:val="Tekst przypisu dolnego Znak"/>
    <w:basedOn w:val="DefaultParagraphFont"/>
    <w:uiPriority w:val="99"/>
    <w:qFormat/>
    <w:rsid w:val="00ef45b6"/>
    <w:rPr>
      <w:sz w:val="20"/>
      <w:szCs w:val="20"/>
    </w:rPr>
  </w:style>
  <w:style w:type="character" w:styleId="Znakiprzypiswdolnych">
    <w:name w:val="Znaki przypisów dolnych"/>
    <w:uiPriority w:val="99"/>
    <w:semiHidden/>
    <w:unhideWhenUsed/>
    <w:qFormat/>
    <w:rsid w:val="00ef45b6"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f45b6"/>
    <w:rPr>
      <w:color w:themeColor="hyperlink" w:val="0563C1"/>
      <w:u w:val="single"/>
    </w:rPr>
  </w:style>
  <w:style w:type="character" w:styleId="Emphasis">
    <w:name w:val="Emphasis"/>
    <w:basedOn w:val="DefaultParagraphFont"/>
    <w:uiPriority w:val="20"/>
    <w:qFormat/>
    <w:rsid w:val="007648cc"/>
    <w:rPr>
      <w:i/>
      <w:iCs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ad57eb"/>
    <w:rPr>
      <w:color w:val="605E5C"/>
      <w:shd w:fill="E1DFDD" w:val="clear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595a93"/>
    <w:rPr>
      <w:sz w:val="20"/>
      <w:szCs w:val="20"/>
    </w:rPr>
  </w:style>
  <w:style w:type="character" w:styleId="Znakiprzypiswkocowych">
    <w:name w:val="Znaki przypisów końcowych"/>
    <w:uiPriority w:val="99"/>
    <w:semiHidden/>
    <w:unhideWhenUsed/>
    <w:qFormat/>
    <w:rsid w:val="00595a93"/>
    <w:rPr>
      <w:vertAlign w:val="superscript"/>
    </w:rPr>
  </w:style>
  <w:style w:type="character" w:styleId="Znakiprzypiswkocowychuser">
    <w:name w:val="Znaki przypisów końcowych (user)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60cc0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qFormat/>
    <w:rsid w:val="00760cc0"/>
    <w:rPr>
      <w:sz w:val="20"/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760cc0"/>
    <w:rPr>
      <w:b/>
      <w:bCs/>
      <w:sz w:val="20"/>
      <w:szCs w:val="20"/>
    </w:rPr>
  </w:style>
  <w:style w:type="character" w:styleId="NagwekZnak" w:customStyle="1">
    <w:name w:val="Nagłówek Znak"/>
    <w:basedOn w:val="DefaultParagraphFont"/>
    <w:uiPriority w:val="99"/>
    <w:qFormat/>
    <w:rsid w:val="008823b5"/>
    <w:rPr/>
  </w:style>
  <w:style w:type="character" w:styleId="StopkaZnak" w:customStyle="1">
    <w:name w:val="Stopka Znak"/>
    <w:basedOn w:val="DefaultParagraphFont"/>
    <w:uiPriority w:val="99"/>
    <w:qFormat/>
    <w:rsid w:val="008823b5"/>
    <w:rPr/>
  </w:style>
  <w:style w:type="character" w:styleId="ArialNarowZnak" w:customStyle="1">
    <w:name w:val="Arial Narow Znak"/>
    <w:link w:val="ArialNarow"/>
    <w:uiPriority w:val="99"/>
    <w:qFormat/>
    <w:locked/>
    <w:rsid w:val="00f20e16"/>
    <w:rPr>
      <w:rFonts w:ascii="Arial Narrow" w:hAnsi="Arial Narrow" w:eastAsia="Calibri" w:cs="Times New Roman"/>
      <w:sz w:val="24"/>
      <w:szCs w:val="20"/>
      <w:lang w:eastAsia="pl-PL"/>
    </w:rPr>
  </w:style>
  <w:style w:type="character" w:styleId="Strong">
    <w:name w:val="Strong"/>
    <w:qFormat/>
    <w:rPr>
      <w:b/>
      <w:bCs/>
    </w:rPr>
  </w:style>
  <w:style w:type="character" w:styleId="Znakinumeracji">
    <w:name w:val="Znaki numeracji"/>
    <w:qFormat/>
    <w:rPr/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FootnoteText">
    <w:name w:val="footnote text"/>
    <w:basedOn w:val="Normal"/>
    <w:link w:val="TekstprzypisudolnegoZnak"/>
    <w:uiPriority w:val="99"/>
    <w:unhideWhenUsed/>
    <w:rsid w:val="00ef45b6"/>
    <w:pPr>
      <w:spacing w:lineRule="auto" w:line="240" w:before="0" w:after="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84509a"/>
    <w:pPr>
      <w:spacing w:before="0" w:after="160"/>
      <w:ind w:left="72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7f3cfe"/>
    <w:pPr>
      <w:spacing w:lineRule="auto" w:line="259"/>
    </w:pPr>
    <w:rPr>
      <w:rFonts w:ascii="Times New Roman" w:hAnsi="Times New Roman" w:cs="Times New Roman"/>
      <w:sz w:val="24"/>
      <w:szCs w:val="24"/>
    </w:rPr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595a93"/>
    <w:pPr>
      <w:spacing w:lineRule="auto" w:line="240" w:before="0" w:after="0"/>
    </w:pPr>
    <w:rPr>
      <w:sz w:val="20"/>
      <w:szCs w:val="20"/>
    </w:rPr>
  </w:style>
  <w:style w:type="paragraph" w:styleId="Revision">
    <w:name w:val="Revision"/>
    <w:uiPriority w:val="99"/>
    <w:semiHidden/>
    <w:qFormat/>
    <w:rsid w:val="00b406d1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CommentText">
    <w:name w:val="annotation text"/>
    <w:basedOn w:val="Normal"/>
    <w:link w:val="TekstkomentarzaZnak"/>
    <w:uiPriority w:val="99"/>
    <w:unhideWhenUsed/>
    <w:rsid w:val="00760c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760cc0"/>
    <w:pPr/>
    <w:rPr>
      <w:b/>
      <w:bCs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ableParagraph" w:customStyle="1">
    <w:name w:val="Table Paragraph"/>
    <w:basedOn w:val="Normal"/>
    <w:uiPriority w:val="99"/>
    <w:qFormat/>
    <w:rsid w:val="00f20e16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lang w:val="en-US"/>
    </w:rPr>
  </w:style>
  <w:style w:type="paragraph" w:styleId="ArialNarow" w:customStyle="1">
    <w:name w:val="Arial Narow"/>
    <w:basedOn w:val="Normal"/>
    <w:link w:val="ArialNarowZnak"/>
    <w:uiPriority w:val="99"/>
    <w:qFormat/>
    <w:rsid w:val="00f20e16"/>
    <w:pPr>
      <w:spacing w:lineRule="auto" w:line="240" w:before="0" w:after="0"/>
    </w:pPr>
    <w:rPr>
      <w:rFonts w:ascii="Arial Narrow" w:hAnsi="Arial Narrow" w:eastAsia="Calibri" w:cs="Times New Roman"/>
      <w:sz w:val="24"/>
      <w:szCs w:val="20"/>
      <w:lang w:eastAsia="pl-PL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/>
      <w:color w:val="000000"/>
      <w:kern w:val="0"/>
      <w:sz w:val="24"/>
      <w:szCs w:val="22"/>
      <w:lang w:val="pl-PL" w:eastAsia="en-US" w:bidi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Application>LibreOffice/25.2.7.2$Windows_X86_64 LibreOffice_project/5cbfd1ab6520636bb5f7b99185aa69bd7456825d</Application>
  <AppVersion>15.0000</AppVersion>
  <Pages>9</Pages>
  <Words>1599</Words>
  <Characters>9336</Characters>
  <CharactersWithSpaces>10669</CharactersWithSpaces>
  <Paragraphs>411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2025-02-26T12:04:00Z</dcterms:created>
  <dc:creator>MES MES;GT</dc:creator>
  <dc:description/>
  <dc:language>pl-PL</dc:language>
  <cp:lastModifiedBy>Sebastian Drabik</cp:lastModifiedBy>
  <dcterms:modified xsi:type="dcterms:W3CDTF">2026-02-18T17:33:06Z</dcterms:modified>
  <cp:revision>230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