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Załącznik nr 2 do zapytania ofertowego nr </w:t>
      </w:r>
      <w:r>
        <w:rPr>
          <w:rFonts w:cs="Times New Roman" w:ascii="Times New Roman" w:hAnsi="Times New Roman"/>
          <w:b/>
          <w:sz w:val="20"/>
          <w:szCs w:val="20"/>
        </w:rPr>
        <w:t>7</w:t>
      </w:r>
      <w:r>
        <w:rPr>
          <w:rFonts w:cs="Times New Roman" w:ascii="Times New Roman" w:hAnsi="Times New Roman"/>
          <w:b/>
          <w:sz w:val="20"/>
          <w:szCs w:val="20"/>
        </w:rPr>
        <w:t xml:space="preserve">/BD/Feniks/2025 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Szczegółowy opis przedmiotu zamówienia –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Zakup i dostawa sprzętów medycznych</w:t>
      </w:r>
    </w:p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Zamawiający: </w:t>
      </w:r>
      <w:r>
        <w:rPr>
          <w:rFonts w:cs="Times New Roman" w:ascii="Times New Roman" w:hAnsi="Times New Roman"/>
          <w:b/>
          <w:bCs/>
          <w:sz w:val="20"/>
          <w:szCs w:val="20"/>
        </w:rPr>
        <w:t xml:space="preserve">Dolnobrzeskie Specjalistyczne Centrum Medyczne spółka z o.o.  </w:t>
      </w:r>
    </w:p>
    <w:p>
      <w:pPr>
        <w:pStyle w:val="Normal"/>
        <w:spacing w:lineRule="auto" w:line="240" w:before="0" w:after="0"/>
        <w:ind w:left="5245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Ergometr do prób wysiłkowych  – 1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tabs>
          <w:tab w:val="clear" w:pos="708"/>
          <w:tab w:val="left" w:pos="2880" w:leader="none"/>
        </w:tabs>
        <w:spacing w:lineRule="auto" w:line="240" w:before="0" w:after="0"/>
        <w:rPr>
          <w:rFonts w:ascii="Times New Roman" w:hAnsi="Times New Roman" w:cs="Times New Roman"/>
          <w:bCs/>
          <w:sz w:val="20"/>
          <w:szCs w:val="20"/>
        </w:rPr>
      </w:pPr>
      <w:r>
        <w:rPr>
          <w:rFonts w:cs="Times New Roman" w:ascii="Times New Roman" w:hAnsi="Times New Roman"/>
          <w:bCs/>
          <w:sz w:val="20"/>
          <w:szCs w:val="20"/>
        </w:rPr>
      </w:r>
    </w:p>
    <w:p>
      <w:pPr>
        <w:pStyle w:val="Normal"/>
        <w:tabs>
          <w:tab w:val="clear" w:pos="708"/>
          <w:tab w:val="left" w:pos="2880" w:leader="none"/>
        </w:tabs>
        <w:spacing w:lineRule="auto" w:line="240" w:before="0" w:after="0"/>
        <w:rPr>
          <w:rFonts w:ascii="Times New Roman" w:hAnsi="Times New Roman" w:cs="Times New Roman"/>
          <w:bCs/>
          <w:sz w:val="20"/>
          <w:szCs w:val="20"/>
        </w:rPr>
      </w:pPr>
      <w:r>
        <w:rPr>
          <w:rFonts w:cs="Times New Roman" w:ascii="Times New Roman" w:hAnsi="Times New Roman"/>
          <w:bCs/>
          <w:sz w:val="20"/>
          <w:szCs w:val="20"/>
        </w:rPr>
      </w:r>
    </w:p>
    <w:p>
      <w:pPr>
        <w:pStyle w:val="TableParagraph"/>
        <w:jc w:val="center"/>
        <w:rPr>
          <w:b/>
          <w:sz w:val="20"/>
          <w:szCs w:val="20"/>
          <w:lang w:val="pl-PL"/>
        </w:rPr>
      </w:pPr>
      <w:r>
        <w:rPr>
          <w:b/>
          <w:sz w:val="20"/>
          <w:szCs w:val="20"/>
          <w:lang w:val="pl-PL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51"/>
        <w:gridCol w:w="2688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Kolorowy wyświetlacz min. 4,3" umożliwia prezentację przebiegów EKG, informację o prawidłowym kontakcie elektrod EKG ze skórą pacjenta oraz wyświetlanie grafiki motywującej utrzymywanie właściwych obrotów podczas testu wysiłkowego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obciążenia:  do 1001 W +/-10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Sterowanie obciążeniem przez mikroprocesor</w:t>
            </w:r>
          </w:p>
        </w:tc>
        <w:tc>
          <w:tcPr>
            <w:tcW w:w="1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866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Detekcja odpięcia elektrody INOP bez udziału komputera i nadrzędnego oprogramowania</w:t>
            </w:r>
          </w:p>
        </w:tc>
        <w:tc>
          <w:tcPr>
            <w:tcW w:w="1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Wbudowany moduł EKG, w trybie diagnostycznym 12 standardowych odprowadzeń, a w trybie treningowym  2 odprowadzenia.</w:t>
            </w:r>
          </w:p>
        </w:tc>
        <w:tc>
          <w:tcPr>
            <w:tcW w:w="1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Hamulec magnetyczny sterowany procesorem lub mikroprocesorem, z kontrolą momentu obrotowego</w:t>
            </w:r>
          </w:p>
        </w:tc>
        <w:tc>
          <w:tcPr>
            <w:tcW w:w="1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obrotów: od 5 do 150 obr. / min. +/-20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Waga pacjenta: min. 160 kg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Tryb pracy: ciągła lub ciągła z przerywanym obciążeniem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Wyposażenie: elektrody jednorazowe (100 szt.), pasta abrazyjna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Zintegrowane połączenie z komputerem poprzez oprogramowanie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Instalacja aparatu i przeszkolenie personelu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System wysiłkowy do wykonywania elektrokardiograficznych badań wysiłkowych oraz badań spoczynkowych z możliwością generowania raportów, archiwizacją badań EKG, przeglądaniem oraz opisywaniem – 1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typ, oprogramowanie: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28"/>
        <w:gridCol w:w="4660"/>
        <w:gridCol w:w="1264"/>
        <w:gridCol w:w="1268"/>
        <w:gridCol w:w="2350"/>
      </w:tblGrid>
      <w:tr>
        <w:trPr>
          <w:tblHeader w:val="true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Stanowisko diagnostyczne, umożliwia wykonanie elektrokardiograficznych badań wysiłkowych oraz klasycznych badań spoczynkowych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Współpraca z cykloergometrem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Stanowisko  z wózkiem, monitorem min. LCD 27", drukarką laserową A4 i komputerem dedykowanym do obsługi oprogramowania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Oprogramowanie: nieprzerwana rejestracja i prezentacja sygnału EKG z 12 odprowadzeń,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zastosowanie cyfrowych filtrów eliminujących pływanie linii izoelektrycznej oraz zakłócenia pochodzenia mięśniowego,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prezentacja uśrednionych zespołów P-QRS-T z 12 odprowadzeń wraz z wynikami pomiarów poziomu i nachylenia odcinka ST,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automatyczny pomiar HR, poziomu ST i nachylenia odcinka ST,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automatyczne sterowanie obciążeniem cykloergometru,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archiwizacja i wydruk raportu przeprowadzonego badania,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automatyczne wyznaczenie punktów pomiarowych z możliwością ręcznej korekty,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automatyczna analiza arytmii,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prezentacja parametrów dotyczących: fazy badania, bieżącego obciążenia, czasu etapu i całkowitego czasu wysiłku,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monitorowane parametry: częstość rytmu, MET, podwójny produkt, ciśnienie krwi, poziom, nachylenie odcinka ST oraz obciążenie,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46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wydruk EKG w czasie rzeczywistym,</w:t>
            </w:r>
          </w:p>
        </w:tc>
        <w:tc>
          <w:tcPr>
            <w:tcW w:w="12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15.</w:t>
            </w:r>
          </w:p>
        </w:tc>
        <w:tc>
          <w:tcPr>
            <w:tcW w:w="46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podgląd trendów wszystkich mierzonych parametrów w trakcie badania,</w:t>
            </w:r>
          </w:p>
        </w:tc>
        <w:tc>
          <w:tcPr>
            <w:tcW w:w="12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16.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system alarmów dla monitorowanych parametrów i arytmii,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17.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standardowe protokoły badań oraz możliwość definiowania własnych protokołów,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18.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podgląd raportu na ekranie przed wydrukiem raportu,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19.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reanalizy wykonanego badania,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20.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prezentacja trendów 3D ilustrujących zmiany odcinka ST,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21.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Instalacja systemu i przeszkolenie personelu.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5"/>
        <w:gridCol w:w="6862"/>
      </w:tblGrid>
      <w:tr>
        <w:trPr/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e- stetoskopy – 1 szt.</w:t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3"/>
        <w:gridCol w:w="5337"/>
        <w:gridCol w:w="1450"/>
        <w:gridCol w:w="2689"/>
      </w:tblGrid>
      <w:tr>
        <w:trPr>
          <w:tblHeader w:val="true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Aktywna redukcja szumów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Dopasowane oliwki zapewniające bardzo dobre uszczelnianie akustyczne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Transmisja danych do urządzenia mobilnego (Android lub iOS) poprzez Bluetooth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Zapisywanie i dodawanie adnotacji do nagrań (15, 30, 60 lub 120 sekund)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Przełączanie między trybem analogowym i wzmocnionym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Dwa rozmiary membran odpowiednio dla dorosłych i dzieci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Specjalna membrana do osłuchiwania wysokich i niskich częstotliwości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 auskultacji serca, płuc, jelit i naczyń krwionośnych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Min. 5-stopniowa regulacja głośności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Budowa liry: Podwójne światło przewodu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Zapasowe oliwki: Tak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Rodzaj membrany: Dwutonowa  jednoczęściowa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Rodzaj oliwek: Miękkie  samouszczelniające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Wizualizacja fal dźwiękowych za pomocą aplikacji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oprogramowania/aplikacji</w:t>
            </w:r>
          </w:p>
        </w:tc>
        <w:tc>
          <w:tcPr>
            <w:tcW w:w="26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Parawan – 5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51"/>
        <w:gridCol w:w="2688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Parawan medyczny, zmywalny, teleskopowy, ścienny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Konstrukcja wykonana ze stali nierdzewnej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Ekran parawanu wykonany jest z materiału impregnowanego z możliwością prania i czyszczenia.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Szerokość: 85-210 cm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Wysokość: 150 cm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Kolor żółty lub zielony (do ustalenia)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Wyrób medyczny CE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8"/>
        <w:gridCol w:w="6869"/>
      </w:tblGrid>
      <w:tr>
        <w:trPr/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Spirometr  – 1 szt.</w:t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typ, oprogramowanie: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3"/>
        <w:gridCol w:w="5337"/>
        <w:gridCol w:w="1450"/>
        <w:gridCol w:w="2689"/>
      </w:tblGrid>
      <w:tr>
        <w:trPr>
          <w:tblHeader w:val="true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Spirometr diagnostyczny przeznaczony do bezpośredniego połączenia z komputerem PC poprzez złącze USB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Przestrzeń martwa 38 ml (lub 20 ml)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przepływu ± 20 l/s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Rozdzielczość przepływu 1 ml/s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Rozdzielczość użytkowa przepływu 10 ml/s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objętości 0 - ±10 l (0 - 20 l)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Rozdzielczość użytkowa objętości 10 ml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 pomiaru &lt; 2 %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Opór głowicy pomiarowej &lt; 0,9 cm H2O/l/s (przy 14 l/s)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Wymiary modułu pomiarowego 145 x 40 x 90 mm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ciężar modułu pomiarowego 120 g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Zgodność z aktualnymi wytycznymi ERS/ATS 2019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Układ pomiaru przepływu z cyfrowym przetwornikiem przepływu umieszczonym w obudowie przyłącza głowicy pneumotachograficznej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 USB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Warunki pracy: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wilgotność 0 - 100 %</w:t>
            </w:r>
          </w:p>
          <w:p>
            <w:pPr>
              <w:pStyle w:val="Normal"/>
              <w:spacing w:before="0" w:after="0"/>
              <w:rPr/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0 - +50 oC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ciśnienie atmosferyczne 500 - 1200 hPa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Oprogramowanie w języku polskim, zgodne z Windows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Funkcje oprogramowania: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Badanie Przepływ-Objętość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Badanie Spirometrii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Badanie Maksymalnej Dowolnej Wentylacji Minutowej (MVV)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Automatyczną kontrolę jakości badania zgodnie z wytycznymi ERS/ATS 2019.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Automatyczna ocena jakości badania wg skali A-F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Analizę i ocenę próby rozkurczowej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Automatyczna ocena jakości badania wg skali A-F,U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Normy GLI, ERS, NHANES, Zapletal, Hankinson, Falaschetti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Odchylenia standardowe i percentyle (Z-SCORE, P)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System motywacyjny dla dzieci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Opcjonalna możliwość integracji z systemami medycznymi HL7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15.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Opcjonalna rozbudowa o bazę SQL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16.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Automatyczna ocena próby rozkurczowej wg ERS z tekstowym komentarzem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Możliwość włączenia systemu automatycznej diagnozy dla badań klasy A lub B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18.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Prezentacja graficzna wolnej spirometrii i natężonej krzywej przepływ-objętość w czasie rzeczywistym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19.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Możliwość transmisji wyników badania do standardowych programów statystycznych oraz zapisu w formacie PDF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20.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Instrukcja obsługi w języku polskim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hanging="0" w:left="0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8"/>
        <w:gridCol w:w="6869"/>
      </w:tblGrid>
      <w:tr>
        <w:trPr/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Pulsoksymetr dla dorosłych   – 4 szt.</w:t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9"/>
        <w:gridCol w:w="2690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Wzmocniony pulsoksymetr - odporny na wodę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Dokładny pomiar wartości SpO2 i pulsu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Dwukolorowy wyświetlacz SpO2, HR oraz prezentacji krzywej Pleth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pomiarowy, SpO2 35 - 99%, Tętno 30 - 240 bpm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danych w 4 kierunkach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Automatyczne włączanie / wyłączanie zasilania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Ponad 30 godzin ciągłej pracy z bateriami alkalicznymi 2AAA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Dźwiękowe i wizualne, funkcja alarmu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Wskazanie napięcia baterii, alarm niskiego napięcia akumulatora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8"/>
        <w:gridCol w:w="6869"/>
      </w:tblGrid>
      <w:tr>
        <w:trPr/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Pulsoksymetr dla dzieci   – 4 szt.</w:t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9"/>
        <w:gridCol w:w="2690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Kolorowa obudowa pulsoksymetru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Przeznaczony jest dla dzieci o masie ciała od 10 do 40 kg.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saturacji (SpO2)</w:t>
              <w:tab/>
              <w:t>0-100%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pulsu:</w:t>
              <w:tab/>
              <w:t>30-250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Zasilanie: 2 baterie AAA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wartości SpO2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wartości tętna,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wykresu słupkowego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przebiegu impulsu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Zmiana trybów wyświetlania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Ustawienia jasności ekranu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Wskazanie niskiego napięcia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automatycznego wyłączania: automatycznie wyłączy się w ciągu 5 sekund, jeśli palec wypadnie z sondy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8"/>
        <w:gridCol w:w="6869"/>
      </w:tblGrid>
      <w:tr>
        <w:trPr/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Otoskop   – 3 szt.</w:t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9"/>
        <w:gridCol w:w="2690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Bezobsługowe oświetlenie - dioda LED.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diody LED nie zmienia się wraz z jej wiekiem.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Homogeniczne, jasne oświetlenie całego obrazu z temperaturą koloru 4000 K.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Technologia LED HQ. Wartość CRI 95, a dla czerwieni ponad 90.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Okienko wzierne z 3 krotnym powiększeniem, o konstrukcji minimalizującej refleksy świetlne i zapewniającej bardzo ostry obraz. Wygodne, odchylane okienko wzierne.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Oświetlenie pozwala na nieprzerwaną pracę ponad 10 godzin.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Powiadomienie o wyczerpaniu baterii, zmniejszając jasność świecenia.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 sprawdzanie stanu naładowania baterii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Możliwość podłączenia gruszki insuflacyjnej.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Klips z wbudowanym automatycznym wyłącznikiem. Instrument wyłącza się automatycznie po wsunięciu do kieszeni.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Rękojeść z tworzywa sztucznego z chromowanym wykończeniem. Odporna na wstrząsy.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Zestaw zawiera: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Otoskop  LED z rękojeścią bateryjną,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 wzierników  1x użytku Ø 2,5mm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 wzierników  1x użytku Ø 4 mm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8"/>
        <w:gridCol w:w="6869"/>
      </w:tblGrid>
      <w:tr>
        <w:trPr/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Fantom do nauki samobadania piersi  – 1 szt.</w:t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9"/>
        <w:gridCol w:w="2690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Profesjonalny trenażer do nauki badania piersi w postaci klatki piersiowej dorosłej kobiety wymiennymi wkładkami, które  realnie odwzorowują różnego typu zmiany chorobowe, charakterystyczne dla rejonu piersi i dołu pachowego.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Idealnie odwzorowuje prawdziwe zmiany nowotworowe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Naturalny rozmiar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Fantom zawiera przykładowe guzy o różnych rozmiarach i kształtach (okrągłe, owalne, gwiaździste).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Powyższe zmiany posiadają różną średnicę (1-4 cm) i konsystencję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Symulator umożliwia dowolne umieszczanie guzków w zależności od programu szkolenia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Model tułowia prawidłowo ułożony jest w pozycji leżenia tyłem (na plecach), możliwy dostęp do pachy, wyczuwalne struktury anatomiczne takie jak: żebra, mostek, obojczyk, powiększone węzły chłonne pod pachami oraz podobojczykowe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Trenażer posiada następujące zmiany chorobowe: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*gruczolak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*torbiele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*guz złośliwy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*powiększenie węzłów chłonnych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*skórka pomarańczy z zapaleniem,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*asymetria,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*widoczne zmiany chorobowe sutka (wklęśnięty sutek)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Możliwość nakłuwania skóry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Zestaw powinien zawierać: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model piersi,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wkładki (lewa i prawa pierś),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skóra do nałożenia na model,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trzy zestawy modeli guzków (każdy oznaczony innym kolorem),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suma 27 guzków,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puder,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walizka transportowa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8"/>
        <w:gridCol w:w="6869"/>
      </w:tblGrid>
      <w:tr>
        <w:trPr/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Koncentrator tlenowy  – 2 szt.</w:t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57" w:before="0" w:after="160"/>
              <w:jc w:val="left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9"/>
        <w:gridCol w:w="2690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Koncentracja tlenu: 93 +/- 3 %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Natężenie przepływu 0,5-5 litry na minutę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Ciśnienie wyjściowe tlenu - 30kPa- 80kPa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Poziom hałasu: max 43 dB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Średni pobór mocy max 400 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Waga max 20 kg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Filtry wymienne przez pacjenta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Cyfrowy przepływomierz ułatwiający monitorowanie terapii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Zestaw dodatkowo zawiera: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Kaniula donosowa do tlenu 1,6 m: 1 sztuka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Filtr: 4 sztuki;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Filtr wstępny: 1 sztuka.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Nawilżacz: 1 sztuka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8"/>
        <w:gridCol w:w="6869"/>
      </w:tblGrid>
      <w:tr>
        <w:trPr/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Aparat do pomiaru ciśnienia tętniczego krwi elektroniczny   – 5 szt.</w:t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9"/>
        <w:gridCol w:w="2690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Ciśnieniomierz ramieniowy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ciśnienia:</w:t>
              <w:tab/>
              <w:t>0 - 299 mmHg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 pomiaru ciśnienia:</w:t>
              <w:tab/>
              <w:t>± 3 mmHg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tętna:</w:t>
              <w:tab/>
              <w:t>40 - 180 uderzeń / minutę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 pomiaru tętna:</w:t>
              <w:tab/>
              <w:t>+/- 5% wskazywanego odczytu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Obwód mankietu:</w:t>
              <w:tab/>
              <w:t>22 cm - 42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Praca 3 kolejne odczyty w odstępach 30-sekundowych, a następnie wyświetla średnią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Zarządzanie pamięcią: 2 użytkowników x 100 odczytów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Metoda pomiaru</w:t>
              <w:tab/>
              <w:t>Oscylomertyczna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Wykrywanie nieregularnego rytmu serca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Wykrywanie ruchu ciała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Walidacja: Badanie kliniczne Badanie cukrzycy Badanie ciążowe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Wykrywanie migotania przedsionków (AFib)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Łatwy wskaźnik poziomu ciśnienia krwi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 zestawie etui do przechowywania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uśredniania pomiaru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Deklaracja zgodności CE0197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8"/>
        <w:gridCol w:w="6869"/>
      </w:tblGrid>
      <w:tr>
        <w:trPr/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Termometr elektroniczny   – 5 szt.</w:t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9"/>
        <w:gridCol w:w="2690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Typ pomiaru: Bezdotykowy (podczerwień)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Czas pomiaru: 1 sekunda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ciała: 32°C – 42,9°C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powierzchni: 0,0°C – 60,0°C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Dokładność: ±0,2°C/0,3°C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Odległość pomiaru: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Ciało: 3 cm – 5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Powierzchnia: 3 cm – 6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Wyświetlacz: Podświetlany LCD w trzech kolorach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Pamięć: Ostatnie 32 wyniki pomiaru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Funkcje: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Alarm gorączki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Automatyczne wyłączanie po 30 sekundach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Tryby pomiaru: Fahrenheit i Celsjusz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Identyfikacja poziomu temperatury (zielony, pomarańczowy, czerwony)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Zasilanie: 2 baterie 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Pobór mocy: ≤ 300mW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Warunki pracy: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Temperatura: 10°C - 40°C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Wilgotność względna: ≤85%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Emisyjność: 0,95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Certyfikat CE 0197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8"/>
        <w:gridCol w:w="6869"/>
      </w:tblGrid>
      <w:tr>
        <w:trPr/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Dermatoskop   – 3 szt.</w:t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9"/>
        <w:gridCol w:w="2690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Dermastoskop LED, immersyjny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Technologia LED HQ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Dwuczęściowy – rękojeść i główka optyczna.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Rękojeść: chromowane wykończenie, termoplastik. Rękojeść z antypoślizgowego materiału, odporna na wstrząsy, wytrzymała.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Powiększenie 10-krotne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Korekcja dioptrażu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Homogeniczne oświetlenie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Zasilanie: 2 baterie typu 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Wyłącznik ON-OFF, minimum 20 000 cykli przełączania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Klips z funkcją wyłączania po włożeniu do kieszeni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8"/>
        <w:gridCol w:w="6869"/>
      </w:tblGrid>
      <w:tr>
        <w:trPr/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Lampa diagnostyczna bezcieniowa   – 1 szt.</w:t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9"/>
        <w:gridCol w:w="2690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Lampa bezcieniowa badawczo-zabiegowa ze statywem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Średni czas żywotności diod: 50000 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Źródło światła: moduły LED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Regulacja natężenia oświetlenia w zakresie 25-100%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Natężenie światła: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65 000 luxów - przy 50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35 000 luxów - przy 100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barwowa: 5000 K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Ramię typu „gęsia szyja”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Zintegrowana rączka do ustawienia położenia czaszy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Długość kabla zasilającego: min.3,8 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Długość gęsiej szyi: min. 70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Jedno kółko z blokadą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Certyfikat CE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 zestawie metalowy wózek jezdny o stabilnej podstawie z regulacją wysokości od 72,8 do 129,8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737" w:top="1446" w:footer="0" w:bottom="73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1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2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f6fe2"/>
    <w:pPr>
      <w:widowControl/>
      <w:suppressAutoHyphens w:val="true"/>
      <w:bidi w:val="0"/>
      <w:spacing w:lineRule="auto" w:line="257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rzypisudolnegoZnak" w:customStyle="1">
    <w:name w:val="Tekst przypisu dolnego Znak"/>
    <w:basedOn w:val="DefaultParagraphFont"/>
    <w:uiPriority w:val="99"/>
    <w:qFormat/>
    <w:rsid w:val="00ef45b6"/>
    <w:rPr>
      <w:sz w:val="20"/>
      <w:szCs w:val="20"/>
    </w:rPr>
  </w:style>
  <w:style w:type="character" w:styleId="Znakiprzypiswdolnych">
    <w:name w:val="Znaki przypisów dolnych"/>
    <w:uiPriority w:val="99"/>
    <w:semiHidden/>
    <w:unhideWhenUsed/>
    <w:qFormat/>
    <w:rsid w:val="00ef45b6"/>
    <w:rPr>
      <w:vertAlign w:val="superscript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f45b6"/>
    <w:rPr>
      <w:color w:themeColor="hyperlink" w:val="0563C1"/>
      <w:u w:val="single"/>
    </w:rPr>
  </w:style>
  <w:style w:type="character" w:styleId="Emphasis">
    <w:name w:val="Emphasis"/>
    <w:basedOn w:val="DefaultParagraphFont"/>
    <w:uiPriority w:val="20"/>
    <w:qFormat/>
    <w:rsid w:val="007648cc"/>
    <w:rPr>
      <w:i/>
      <w:iCs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ad57eb"/>
    <w:rPr>
      <w:color w:val="605E5C"/>
      <w:shd w:fill="E1DFDD" w:val="clear"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595a93"/>
    <w:rPr>
      <w:sz w:val="20"/>
      <w:szCs w:val="20"/>
    </w:rPr>
  </w:style>
  <w:style w:type="character" w:styleId="Znakiprzypiswkocowych">
    <w:name w:val="Znaki przypisów końcowych"/>
    <w:uiPriority w:val="99"/>
    <w:semiHidden/>
    <w:unhideWhenUsed/>
    <w:qFormat/>
    <w:rsid w:val="00595a93"/>
    <w:rPr>
      <w:vertAlign w:val="superscript"/>
    </w:rPr>
  </w:style>
  <w:style w:type="character" w:styleId="Znakiprzypiswkocowychuser">
    <w:name w:val="Znaki przypisów końcowych (user)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760cc0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qFormat/>
    <w:rsid w:val="00760cc0"/>
    <w:rPr>
      <w:sz w:val="20"/>
      <w:szCs w:val="20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760cc0"/>
    <w:rPr>
      <w:b/>
      <w:bCs/>
      <w:sz w:val="20"/>
      <w:szCs w:val="20"/>
    </w:rPr>
  </w:style>
  <w:style w:type="character" w:styleId="NagwekZnak" w:customStyle="1">
    <w:name w:val="Nagłówek Znak"/>
    <w:basedOn w:val="DefaultParagraphFont"/>
    <w:uiPriority w:val="99"/>
    <w:qFormat/>
    <w:rsid w:val="008823b5"/>
    <w:rPr/>
  </w:style>
  <w:style w:type="character" w:styleId="StopkaZnak" w:customStyle="1">
    <w:name w:val="Stopka Znak"/>
    <w:basedOn w:val="DefaultParagraphFont"/>
    <w:uiPriority w:val="99"/>
    <w:qFormat/>
    <w:rsid w:val="008823b5"/>
    <w:rPr/>
  </w:style>
  <w:style w:type="character" w:styleId="ArialNarowZnak" w:customStyle="1">
    <w:name w:val="Arial Narow Znak"/>
    <w:link w:val="ArialNarow"/>
    <w:uiPriority w:val="99"/>
    <w:qFormat/>
    <w:locked/>
    <w:rsid w:val="00f20e16"/>
    <w:rPr>
      <w:rFonts w:ascii="Arial Narrow" w:hAnsi="Arial Narrow" w:eastAsia="Calibri" w:cs="Times New Roman"/>
      <w:sz w:val="24"/>
      <w:szCs w:val="20"/>
      <w:lang w:eastAsia="pl-PL"/>
    </w:rPr>
  </w:style>
  <w:style w:type="character" w:styleId="Strong">
    <w:name w:val="Strong"/>
    <w:qFormat/>
    <w:rPr>
      <w:b/>
      <w:bCs/>
    </w:rPr>
  </w:style>
  <w:style w:type="character" w:styleId="Znakinumeracji">
    <w:name w:val="Znaki numeracji"/>
    <w:qFormat/>
    <w:rPr/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FootnoteText">
    <w:name w:val="footnote text"/>
    <w:basedOn w:val="Normal"/>
    <w:link w:val="TekstprzypisudolnegoZnak"/>
    <w:uiPriority w:val="99"/>
    <w:unhideWhenUsed/>
    <w:rsid w:val="00ef45b6"/>
    <w:pPr>
      <w:spacing w:lineRule="auto" w:line="240" w:before="0" w:after="0"/>
    </w:pPr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84509a"/>
    <w:pPr>
      <w:spacing w:before="0" w:after="160"/>
      <w:ind w:left="72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7f3cfe"/>
    <w:pPr>
      <w:spacing w:lineRule="auto" w:line="259"/>
    </w:pPr>
    <w:rPr>
      <w:rFonts w:ascii="Times New Roman" w:hAnsi="Times New Roman" w:cs="Times New Roman"/>
      <w:sz w:val="24"/>
      <w:szCs w:val="24"/>
    </w:rPr>
  </w:style>
  <w:style w:type="paragraph" w:styleId="EndnoteText">
    <w:name w:val="endnote text"/>
    <w:basedOn w:val="Normal"/>
    <w:link w:val="TekstprzypisukocowegoZnak"/>
    <w:uiPriority w:val="99"/>
    <w:semiHidden/>
    <w:unhideWhenUsed/>
    <w:rsid w:val="00595a93"/>
    <w:pPr>
      <w:spacing w:lineRule="auto" w:line="240" w:before="0" w:after="0"/>
    </w:pPr>
    <w:rPr>
      <w:sz w:val="20"/>
      <w:szCs w:val="20"/>
    </w:rPr>
  </w:style>
  <w:style w:type="paragraph" w:styleId="Revision">
    <w:name w:val="Revision"/>
    <w:uiPriority w:val="99"/>
    <w:semiHidden/>
    <w:qFormat/>
    <w:rsid w:val="00b406d1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CommentText">
    <w:name w:val="annotation text"/>
    <w:basedOn w:val="Normal"/>
    <w:link w:val="TekstkomentarzaZnak"/>
    <w:uiPriority w:val="99"/>
    <w:unhideWhenUsed/>
    <w:rsid w:val="00760cc0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unhideWhenUsed/>
    <w:qFormat/>
    <w:rsid w:val="00760cc0"/>
    <w:pPr/>
    <w:rPr>
      <w:b/>
      <w:bCs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TableParagraph" w:customStyle="1">
    <w:name w:val="Table Paragraph"/>
    <w:basedOn w:val="Normal"/>
    <w:uiPriority w:val="99"/>
    <w:qFormat/>
    <w:rsid w:val="00f20e16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lang w:val="en-US"/>
    </w:rPr>
  </w:style>
  <w:style w:type="paragraph" w:styleId="ArialNarow" w:customStyle="1">
    <w:name w:val="Arial Narow"/>
    <w:basedOn w:val="Normal"/>
    <w:link w:val="ArialNarowZnak"/>
    <w:uiPriority w:val="99"/>
    <w:qFormat/>
    <w:rsid w:val="00f20e16"/>
    <w:pPr>
      <w:spacing w:lineRule="auto" w:line="240" w:before="0" w:after="0"/>
    </w:pPr>
    <w:rPr>
      <w:rFonts w:ascii="Arial Narrow" w:hAnsi="Arial Narrow" w:eastAsia="Calibri" w:cs="Times New Roman"/>
      <w:sz w:val="24"/>
      <w:szCs w:val="20"/>
      <w:lang w:eastAsia="pl-PL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/>
      <w:color w:val="000000"/>
      <w:kern w:val="0"/>
      <w:sz w:val="24"/>
      <w:szCs w:val="22"/>
      <w:lang w:val="pl-PL" w:eastAsia="en-US" w:bidi="ar-SA"/>
    </w:rPr>
  </w:style>
  <w:style w:type="paragraph" w:styleId="Komentarzuser">
    <w:name w:val="Komentarz (user)"/>
    <w:basedOn w:val="Normal"/>
    <w:qFormat/>
    <w:pPr>
      <w:spacing w:lineRule="auto" w:line="240" w:before="56" w:after="0"/>
      <w:ind w:hanging="0" w:left="57" w:right="57"/>
    </w:pPr>
    <w:rPr>
      <w:color w:val="auto"/>
      <w:sz w:val="20"/>
      <w:szCs w:val="20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0DDB7-7728-4D19-93AA-1911940E5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548</TotalTime>
  <Application>LibreOffice/25.2.6.2$Windows_X86_64 LibreOffice_project/729c5bfe710f5eb71ed3bbde9e06a6065e9c6c5d</Application>
  <AppVersion>15.0000</AppVersion>
  <Pages>17</Pages>
  <Words>2275</Words>
  <Characters>14521</Characters>
  <CharactersWithSpaces>16297</CharactersWithSpaces>
  <Paragraphs>554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2025-02-26T12:04:00Z</dcterms:created>
  <dc:creator>MES MES;GT</dc:creator>
  <dc:description/>
  <dc:language>pl-PL</dc:language>
  <cp:lastModifiedBy>Sebastian Drabik</cp:lastModifiedBy>
  <dcterms:modified xsi:type="dcterms:W3CDTF">2025-11-03T09:53:43Z</dcterms:modified>
  <cp:revision>277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